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2 -->
  <w:body>
    <w:p w:rsidR="002D78C9" w:rsidP="00DD3DD7" w14:paraId="0E6D44C9" w14:textId="77777777">
      <w:pPr>
        <w:pStyle w:val="Title"/>
      </w:pPr>
      <w:r w:rsidRPr="002F663C">
        <w:t>NOTIFICATION</w:t>
      </w:r>
    </w:p>
    <w:p w:rsidR="002F663C" w:rsidRPr="002F663C" w:rsidP="00DD3DD7" w14:paraId="117C34EE" w14:textId="77777777">
      <w:pPr>
        <w:pStyle w:val="Title3"/>
      </w:pPr>
      <w:r w:rsidRPr="002F663C">
        <w:t>Addendum</w:t>
      </w:r>
    </w:p>
    <w:p w:rsidR="002F663C" w:rsidP="001E2E4A" w14:paraId="65074DA0" w14:textId="1B177A65">
      <w:pPr>
        <w:rPr>
          <w:rFonts w:eastAsia="Calibri" w:cs="Times New Roman"/>
        </w:rPr>
      </w:pPr>
      <w:r w:rsidRPr="002F663C">
        <w:rPr>
          <w:rFonts w:eastAsia="Calibri" w:cs="Times New Roman"/>
        </w:rPr>
        <w:t>The following communication</w:t>
      </w:r>
      <w:r>
        <w:rPr>
          <w:rFonts w:eastAsia="Calibri" w:cs="Times New Roman"/>
        </w:rPr>
        <w:t>,</w:t>
      </w:r>
      <w:r w:rsidRPr="002F663C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dated</w:t>
      </w:r>
      <w:r w:rsidRPr="002F663C">
        <w:rPr>
          <w:rFonts w:eastAsia="Calibri" w:cs="Times New Roman"/>
        </w:rPr>
        <w:t xml:space="preserve"> </w:t>
      </w:r>
      <w:bookmarkStart w:id="0" w:name="bmkCrnReceptionDate"/>
      <w:r w:rsidR="00A001F6">
        <w:rPr>
          <w:rFonts w:eastAsia="Calibri" w:cs="Times New Roman"/>
        </w:rPr>
        <w:t>21 October 2013</w:t>
      </w:r>
      <w:bookmarkEnd w:id="0"/>
      <w:r w:rsidRPr="002F663C">
        <w:rPr>
          <w:rFonts w:eastAsia="Calibri" w:cs="Times New Roman"/>
        </w:rPr>
        <w:t xml:space="preserve">, is being circulated at the request of the </w:t>
      </w:r>
      <w:r>
        <w:rPr>
          <w:rFonts w:eastAsia="Calibri" w:cs="Times New Roman"/>
        </w:rPr>
        <w:t>d</w:t>
      </w:r>
      <w:r w:rsidRPr="002F663C">
        <w:rPr>
          <w:rFonts w:eastAsia="Calibri" w:cs="Times New Roman"/>
        </w:rPr>
        <w:t xml:space="preserve">elegation of </w:t>
      </w:r>
      <w:bookmarkStart w:id="1" w:name="OLE_LINK1"/>
      <w:r w:rsidRPr="002F663C">
        <w:rPr>
          <w:rFonts w:eastAsia="Calibri" w:cs="Times New Roman"/>
          <w:u w:val="single"/>
        </w:rPr>
        <w:t>India</w:t>
      </w:r>
      <w:bookmarkStart w:id="2" w:name="bmkMemberName"/>
      <w:bookmarkEnd w:id="2"/>
      <w:bookmarkEnd w:id="1"/>
      <w:r w:rsidRPr="002F663C">
        <w:rPr>
          <w:rFonts w:eastAsia="Calibri" w:cs="Times New Roman"/>
        </w:rPr>
        <w:t>.</w:t>
      </w:r>
    </w:p>
    <w:p w:rsidR="001E2E4A" w:rsidRPr="002F663C" w:rsidP="001E2E4A" w14:paraId="5A4C8DA2" w14:textId="77777777">
      <w:pPr>
        <w:rPr>
          <w:rFonts w:eastAsia="Calibri" w:cs="Times New Roman"/>
        </w:rPr>
      </w:pPr>
    </w:p>
    <w:p w:rsidR="002F663C" w:rsidRPr="002F663C" w:rsidP="002F663C" w14:paraId="6439D1AF" w14:textId="77777777">
      <w:pPr>
        <w:jc w:val="center"/>
        <w:rPr>
          <w:rFonts w:eastAsia="Calibri" w:cs="Times New Roman"/>
          <w:b/>
        </w:rPr>
      </w:pPr>
      <w:r w:rsidRPr="002F663C">
        <w:rPr>
          <w:rFonts w:eastAsia="Calibri" w:cs="Times New Roman"/>
          <w:b/>
        </w:rPr>
        <w:t>_______________</w:t>
      </w:r>
    </w:p>
    <w:p w:rsidR="002F663C" w:rsidP="002F663C" w14:paraId="192E0942" w14:textId="0F818543">
      <w:pPr>
        <w:rPr>
          <w:rFonts w:eastAsia="Calibri" w:cs="Times New Roman"/>
        </w:rPr>
      </w:pPr>
    </w:p>
    <w:p w:rsidR="00C14444" w:rsidRPr="002F663C" w:rsidP="002F663C" w14:paraId="76E21435" w14:textId="77777777">
      <w:pPr>
        <w:rPr>
          <w:rFonts w:eastAsia="Calibri" w:cs="Times New Roman"/>
        </w:rPr>
      </w:pPr>
    </w:p>
    <w:p w:rsidR="002F663C" w:rsidRPr="002F663C" w:rsidP="002F663C" w14:paraId="1625E4EC" w14:textId="702C6AF0">
      <w:pPr>
        <w:rPr>
          <w:rFonts w:eastAsia="Calibri" w:cs="Times New Roman"/>
          <w:b/>
          <w:szCs w:val="18"/>
        </w:rPr>
      </w:pPr>
      <w:r w:rsidRPr="002F663C">
        <w:rPr>
          <w:rFonts w:eastAsia="Calibri" w:cs="Times New Roman"/>
          <w:b/>
          <w:szCs w:val="18"/>
        </w:rPr>
        <w:t xml:space="preserve">Title: </w:t>
      </w:r>
      <w:bookmarkStart w:id="3" w:name="OLE_LINK2"/>
      <w:bookmarkStart w:id="4" w:name="bmkTitle"/>
      <w:bookmarkEnd w:id="4"/>
      <w:bookmarkEnd w:id="3"/>
    </w:p>
    <w:p w:rsidR="002F663C" w:rsidRPr="002F663C" w:rsidP="002F663C" w14:paraId="46CBF133" w14:textId="77777777">
      <w:pPr>
        <w:rPr>
          <w:rFonts w:eastAsia="Calibri" w:cs="Times New Roman"/>
          <w:szCs w:val="18"/>
        </w:rPr>
      </w:pPr>
    </w:p>
    <w:tbl>
      <w:tblPr>
        <w:tblW w:w="9049" w:type="dxa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8198"/>
      </w:tblGrid>
      <w:tr w14:paraId="717090C7" w14:textId="77777777" w:rsidTr="00E9471B">
        <w:tblPrEx>
          <w:tblW w:w="9049" w:type="dxa"/>
          <w:tblBorders>
            <w:top w:val="single" w:sz="4" w:space="0" w:color="auto"/>
            <w:left w:val="double" w:sz="6" w:space="0" w:color="auto"/>
            <w:bottom w:val="single" w:sz="4" w:space="0" w:color="auto"/>
            <w:right w:val="double" w:sz="6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9049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  <w:tl2br w:val="nil"/>
              <w:tr2bl w:val="nil"/>
            </w:tcBorders>
            <w:shd w:val="clear" w:color="auto" w:fill="auto"/>
          </w:tcPr>
          <w:p w:rsidR="002F663C" w:rsidRPr="002F663C" w:rsidP="00C14444" w14:paraId="18F10599" w14:textId="77777777">
            <w:pPr>
              <w:spacing w:before="60" w:after="60"/>
              <w:ind w:left="567" w:hanging="567"/>
              <w:rPr>
                <w:rFonts w:eastAsia="Calibri" w:cs="Times New Roman"/>
                <w:b/>
              </w:rPr>
            </w:pPr>
            <w:bookmarkStart w:id="5" w:name="_Hlk24973414"/>
            <w:r w:rsidRPr="002F663C">
              <w:rPr>
                <w:rFonts w:eastAsia="Calibri" w:cs="Times New Roman"/>
                <w:b/>
              </w:rPr>
              <w:t>Reason for Addendum:</w:t>
            </w:r>
          </w:p>
        </w:tc>
      </w:tr>
      <w:tr w14:paraId="6510A10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66F061A" w14:textId="3C67C0A0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6" w:name="bmkRsnModificationOfFinalDateForComments"/>
            <w:r w:rsidRPr="00711F9C">
              <w:rPr>
                <w:rFonts w:eastAsia="Calibri" w:cs="Times New Roman"/>
                <w:szCs w:val="18"/>
              </w:rPr>
              <w:t>  </w:t>
            </w:r>
            <w:bookmarkEnd w:id="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6C49C4D2" w14:textId="7C7D113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omment period changed - date:</w:t>
            </w:r>
            <w:r w:rsidR="001642F0">
              <w:rPr>
                <w:rFonts w:eastAsia="Calibri" w:cs="Times New Roman"/>
              </w:rPr>
              <w:t xml:space="preserve"> </w:t>
            </w:r>
            <w:bookmarkStart w:id="7" w:name="bmkFinalCommentsDate"/>
            <w:bookmarkEnd w:id="7"/>
          </w:p>
        </w:tc>
      </w:tr>
      <w:tr w14:paraId="4E0DEED2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49FE6362" w14:textId="19F938F0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8" w:name="bmkRsnNotifiedMeasureAdopt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F377846" w14:textId="6609A8C0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adopted - date: </w:t>
            </w:r>
            <w:bookmarkStart w:id="9" w:name="bmkProposedAdoptionDate"/>
            <w:bookmarkEnd w:id="9"/>
          </w:p>
        </w:tc>
      </w:tr>
      <w:tr w14:paraId="1D75EEBC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78FBC85" w14:textId="632E61BC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0" w:name="bmkRsnNotifiedMeasurePublish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0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303FDFB5" w14:textId="0818F953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published - date: </w:t>
            </w:r>
            <w:bookmarkStart w:id="11" w:name="bmkProposedNotificationDate"/>
            <w:bookmarkEnd w:id="11"/>
          </w:p>
        </w:tc>
      </w:tr>
      <w:tr w14:paraId="05F3F510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50545CD1" w14:textId="0DD890E3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2" w:name="bmkRsnNotifiedMeasureEntersIntoForc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2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4F799272" w14:textId="5CB96CB7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enters into force - date: </w:t>
            </w:r>
            <w:bookmarkStart w:id="13" w:name="bmkProposedEntryIntoForceDate"/>
            <w:bookmarkEnd w:id="13"/>
          </w:p>
        </w:tc>
      </w:tr>
      <w:tr w14:paraId="133FB6F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7B0D0B86" w14:textId="1D61669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4" w:name="bmkRsnTextOfFinalMeasureAvailable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28D5697" w14:textId="11F9B74B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T</w:t>
            </w:r>
            <w:r w:rsidRPr="002F663C">
              <w:rPr>
                <w:rFonts w:eastAsia="Calibri" w:cs="Times New Roman"/>
              </w:rPr>
              <w:t>ext of final measure available from</w:t>
            </w:r>
            <w:bookmarkStart w:id="15" w:name="_Ref40866877"/>
            <w:r>
              <w:rPr>
                <w:rStyle w:val="FootnoteReference"/>
                <w:rFonts w:eastAsia="Calibri" w:cs="Times New Roman"/>
              </w:rPr>
              <w:footnoteReference w:id="2"/>
            </w:r>
            <w:bookmarkEnd w:id="15"/>
            <w:r w:rsidRPr="002F663C">
              <w:rPr>
                <w:rFonts w:eastAsia="Calibri" w:cs="Times New Roman"/>
              </w:rPr>
              <w:t xml:space="preserve">: </w:t>
            </w:r>
            <w:bookmarkStart w:id="17" w:name="bmkFinalMeasure"/>
            <w:bookmarkEnd w:id="17"/>
          </w:p>
        </w:tc>
      </w:tr>
      <w:tr w14:paraId="01765C89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0E5B3950" w14:textId="2A7B4A21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18" w:name="bmkRsnWithdrawalOfProposedRegulation"/>
            <w:r w:rsidRPr="00711F9C">
              <w:rPr>
                <w:rFonts w:eastAsia="Calibri" w:cs="Times New Roman"/>
                <w:szCs w:val="18"/>
              </w:rPr>
              <w:t>  </w:t>
            </w:r>
            <w:bookmarkEnd w:id="18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EB7B40" w14:paraId="5CB27725" w14:textId="6703791E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 xml:space="preserve">otified measure withdrawn or revoked - date: </w:t>
            </w:r>
            <w:bookmarkStart w:id="19" w:name="bmkWithdrawalDate"/>
            <w:bookmarkEnd w:id="19"/>
          </w:p>
          <w:p w:rsidR="002F663C" w:rsidRPr="002F663C" w:rsidP="00EB7B40" w14:paraId="4591B26A" w14:textId="1419EF1B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R</w:t>
            </w:r>
            <w:r w:rsidRPr="002F663C">
              <w:rPr>
                <w:rFonts w:eastAsia="Calibri" w:cs="Times New Roman"/>
              </w:rPr>
              <w:t>elevant symbol if measure re-notified: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0" w:name="bmkRelevantSymbol"/>
            <w:bookmarkEnd w:id="20"/>
          </w:p>
        </w:tc>
      </w:tr>
      <w:tr w14:paraId="6236B32B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34C8A6F2" w14:textId="295D04E6">
            <w:pPr>
              <w:spacing w:before="60" w:after="60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1" w:name="bmkRsnModificationOfContent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1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C14444" w14:paraId="10B96E15" w14:textId="485D3BBA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</w:t>
            </w:r>
            <w:r w:rsidRPr="002F663C">
              <w:rPr>
                <w:rFonts w:eastAsia="Calibri" w:cs="Times New Roman"/>
              </w:rPr>
              <w:t>ontent or scope of notified measure changed</w:t>
            </w:r>
            <w:r w:rsidR="00917235">
              <w:rPr>
                <w:rFonts w:eastAsia="Calibri" w:cs="Times New Roman"/>
              </w:rPr>
              <w:t xml:space="preserve"> and text available from</w:t>
            </w:r>
            <w:r w:rsidR="00917235">
              <w:rPr>
                <w:rFonts w:eastAsia="Calibri" w:cs="Times New Roman"/>
                <w:vertAlign w:val="superscript"/>
              </w:rPr>
              <w:t>1</w:t>
            </w:r>
            <w:r w:rsidR="00082727">
              <w:rPr>
                <w:rFonts w:eastAsia="Calibri" w:cs="Times New Roman"/>
              </w:rPr>
              <w:t xml:space="preserve">: </w:t>
            </w:r>
            <w:bookmarkStart w:id="22" w:name="bmkModificationOfContent"/>
            <w:bookmarkEnd w:id="22"/>
          </w:p>
          <w:p w:rsidR="002F663C" w:rsidRPr="002F663C" w:rsidP="00C14444" w14:paraId="34C0C447" w14:textId="32F7E3FE">
            <w:pPr>
              <w:spacing w:before="60" w:after="60"/>
              <w:rPr>
                <w:rFonts w:eastAsia="Calibri" w:cs="Times New Roman"/>
              </w:rPr>
            </w:pPr>
            <w:r w:rsidRPr="00F77BEC">
              <w:rPr>
                <w:rFonts w:eastAsia="Calibri" w:cs="Times New Roman"/>
              </w:rPr>
              <w:t>N</w:t>
            </w:r>
            <w:r w:rsidRPr="002F663C">
              <w:rPr>
                <w:rFonts w:eastAsia="Calibri" w:cs="Times New Roman"/>
              </w:rPr>
              <w:t>ew deadline for comments (if applicable):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3" w:name="bmkNewCommentPeriod"/>
            <w:bookmarkEnd w:id="23"/>
          </w:p>
        </w:tc>
      </w:tr>
      <w:tr w14:paraId="44B7F5F7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shd w:val="clear" w:color="auto" w:fill="auto"/>
          </w:tcPr>
          <w:p w:rsidR="002F663C" w:rsidRPr="00711F9C" w:rsidP="00C14444" w14:paraId="678452DF" w14:textId="2109DF7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4" w:name="bmkRsnInterpretativeGuidanceIssued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4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shd w:val="clear" w:color="auto" w:fill="auto"/>
          </w:tcPr>
          <w:p w:rsidR="002F663C" w:rsidRPr="002F663C" w:rsidP="00D95F69" w14:paraId="00291FDC" w14:textId="6C4E23F2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I</w:t>
            </w:r>
            <w:r w:rsidRPr="002F663C">
              <w:rPr>
                <w:rFonts w:eastAsia="Calibri" w:cs="Times New Roman"/>
              </w:rPr>
              <w:t>nterpretive guidance issued and text available from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begin"/>
            </w:r>
            <w:r w:rsidRPr="00370A55" w:rsidR="00370A55">
              <w:rPr>
                <w:rFonts w:eastAsia="Calibri" w:cs="Times New Roman"/>
                <w:vertAlign w:val="superscript"/>
              </w:rPr>
              <w:instrText xml:space="preserve"> NOTEREF _Ref40866877 \h </w:instrText>
            </w:r>
            <w:r w:rsidR="00370A55">
              <w:rPr>
                <w:rFonts w:eastAsia="Calibri" w:cs="Times New Roman"/>
                <w:vertAlign w:val="superscript"/>
              </w:rPr>
              <w:instrText xml:space="preserve"> \* MERGEFORMAT </w:instrTex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separate"/>
            </w:r>
            <w:r w:rsidRPr="00370A55" w:rsidR="00370A55">
              <w:rPr>
                <w:rFonts w:eastAsia="Calibri" w:cs="Times New Roman"/>
                <w:vertAlign w:val="superscript"/>
              </w:rPr>
              <w:t>1</w:t>
            </w:r>
            <w:r w:rsidRPr="00370A55" w:rsidR="00370A55">
              <w:rPr>
                <w:rFonts w:eastAsia="Calibri" w:cs="Times New Roman"/>
                <w:vertAlign w:val="superscript"/>
              </w:rPr>
              <w:fldChar w:fldCharType="end"/>
            </w:r>
            <w:r w:rsidRPr="002F663C">
              <w:rPr>
                <w:rFonts w:eastAsia="Calibri" w:cs="Times New Roman"/>
              </w:rPr>
              <w:t>:</w:t>
            </w:r>
            <w:r w:rsidRPr="002F663C">
              <w:rPr>
                <w:rFonts w:eastAsia="Calibri" w:cs="Times New Roman"/>
                <w:sz w:val="16"/>
                <w:szCs w:val="16"/>
              </w:rPr>
              <w:t xml:space="preserve"> </w:t>
            </w:r>
            <w:bookmarkStart w:id="25" w:name="bmkInterpretativeGuidance"/>
            <w:bookmarkEnd w:id="25"/>
          </w:p>
        </w:tc>
      </w:tr>
      <w:tr w14:paraId="755A1F3D" w14:textId="77777777" w:rsidTr="00E9471B">
        <w:tblPrEx>
          <w:tblW w:w="9049" w:type="dxa"/>
          <w:tblLayout w:type="fixed"/>
          <w:tblLook w:val="04A0"/>
        </w:tblPrEx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:rsidR="002F663C" w:rsidRPr="00711F9C" w:rsidP="00C14444" w14:paraId="6063E3AA" w14:textId="3F44B59D">
            <w:pPr>
              <w:spacing w:before="60" w:after="60"/>
              <w:ind w:left="567" w:hanging="567"/>
              <w:jc w:val="center"/>
              <w:rPr>
                <w:rFonts w:eastAsia="Calibri" w:cs="Times New Roman"/>
                <w:szCs w:val="18"/>
              </w:rPr>
            </w:pPr>
            <w:r w:rsidRPr="00711F9C">
              <w:rPr>
                <w:rFonts w:eastAsia="Calibri" w:cs="Times New Roman"/>
                <w:szCs w:val="18"/>
              </w:rPr>
              <w:t>[</w:t>
            </w:r>
            <w:bookmarkStart w:id="26" w:name="bmkRsnOther"/>
            <w:r w:rsidRPr="00711F9C">
              <w:rPr>
                <w:rFonts w:eastAsia="Calibri" w:cs="Times New Roman"/>
                <w:szCs w:val="18"/>
              </w:rPr>
              <w:t>  </w:t>
            </w:r>
            <w:bookmarkEnd w:id="26"/>
            <w:r w:rsidRPr="00711F9C">
              <w:rPr>
                <w:rFonts w:eastAsia="Calibri" w:cs="Times New Roman"/>
                <w:szCs w:val="18"/>
              </w:rPr>
              <w:t>]</w:t>
            </w:r>
          </w:p>
        </w:tc>
        <w:tc>
          <w:tcPr>
            <w:tcW w:w="8198" w:type="dxa"/>
            <w:tcBorders>
              <w:bottom w:val="double" w:sz="4" w:space="0" w:color="auto"/>
            </w:tcBorders>
            <w:shd w:val="clear" w:color="auto" w:fill="auto"/>
          </w:tcPr>
          <w:p w:rsidR="002F663C" w:rsidRPr="002F663C" w:rsidP="00EB7B40" w14:paraId="7321DE4D" w14:textId="6DBA50F6">
            <w:pPr>
              <w:spacing w:before="60" w:after="60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</w:t>
            </w:r>
            <w:r w:rsidRPr="002F663C">
              <w:rPr>
                <w:rFonts w:eastAsia="Calibri" w:cs="Times New Roman"/>
              </w:rPr>
              <w:t>ther:</w:t>
            </w:r>
            <w:r w:rsidR="00467A46">
              <w:rPr>
                <w:rFonts w:eastAsia="Calibri" w:cs="Times New Roman"/>
              </w:rPr>
              <w:t xml:space="preserve"> </w:t>
            </w:r>
            <w:bookmarkStart w:id="27" w:name="bmkReasonOtherText"/>
            <w:bookmarkEnd w:id="27"/>
          </w:p>
        </w:tc>
      </w:tr>
    </w:tbl>
    <w:p w:rsidR="002F663C" w:rsidRPr="002F663C" w:rsidP="002F663C" w14:paraId="1D6D5D53" w14:textId="77777777">
      <w:pPr>
        <w:jc w:val="left"/>
        <w:rPr>
          <w:rFonts w:eastAsia="Calibri" w:cs="Times New Roman"/>
          <w:highlight w:val="yellow"/>
        </w:rPr>
      </w:pPr>
      <w:bookmarkEnd w:id="5"/>
    </w:p>
    <w:p w:rsidR="003971FF" w:rsidRPr="007F6EA2" w:rsidP="00B16ACF" w14:paraId="290CA151" w14:textId="2BE34AF0">
      <w:pPr>
        <w:spacing w:after="120"/>
        <w:rPr>
          <w:rFonts w:eastAsia="Calibri" w:cs="Times New Roman"/>
          <w:bCs/>
          <w:highlight w:val="yellow"/>
        </w:rPr>
      </w:pPr>
      <w:r w:rsidRPr="002F663C">
        <w:rPr>
          <w:rFonts w:eastAsia="Calibri" w:cs="Times New Roman"/>
          <w:b/>
          <w:szCs w:val="18"/>
        </w:rPr>
        <w:t>Description:</w:t>
      </w:r>
      <w:r w:rsidRPr="002F663C">
        <w:rPr>
          <w:rFonts w:eastAsia="Calibri" w:cs="Times New Roman"/>
          <w:szCs w:val="18"/>
        </w:rPr>
        <w:t xml:space="preserve"> </w:t>
      </w:r>
      <w:r w:rsidRPr="002F663C">
        <w:rPr>
          <w:rFonts w:eastAsia="Calibri" w:cs="Times New Roman"/>
          <w:szCs w:val="18"/>
        </w:rPr>
        <w:t>&lt;p style="text-indent:1cm;"&gt;&lt;a name="spsTitle"&gt;&lt;span style="font-size:x-small;font-face:Verdana;"&gt;&lt;span style="font-size:9pt;"&gt;&lt;span&gt;India had notified the "Electronics and Information Technology Goods (Requirements for Compulsory Registration) Order, 2012" herein called the "Order" to the WTO with Notification G/TBT/N/IND/44 dated 19 October 2012. The Order prescribes safety standards for the notified products when sold in the domestic market.&lt;span&gt;&amp;nbsp; &lt;/span&gt;&lt;/span&gt;&lt;/span&gt;&lt;/span&gt;&lt;/a&gt;&lt;/p&gt;&lt;p&gt;&lt;span&gt;&lt;span style="font-size:x-small;font-face:Verdana;"&gt;&lt;/span&gt;&lt;/span&gt;&lt;/p&gt;&lt;p style="text-indent:1cm;"&gt;&lt;span&gt;&lt;span style="font-size:x-small;font-face:Verdana;"&gt;&lt;span style="font-size:9pt;"&gt;&lt;span&gt;As indicated in Addendum 1 to the original notification, the date of entry into force of the Order is 3 July 2013 with manufacturing units subject to specified conditions provided an additional period of three months i.e. up to 3 October 2013 for the entry into force of this Order. &lt;/span&gt;&lt;/span&gt;&lt;/span&gt;&lt;/span&gt;&lt;/p&gt;&lt;p style="text-indent:1cm;"&gt;&lt;span&gt;&lt;span style="font-size:x-small;font-face:Verdana;"&gt;&lt;/span&gt;&lt;/span&gt;&lt;/p&gt;&lt;p style="text-indent:1cm;"&gt;&lt;span&gt;&lt;span style="font-size:x-small;font-face:Verdana;"&gt;&lt;span style="font-size:9pt;"&gt;&lt;span&gt;This is to inform Members that India has published and made the following amendments/circulars/notifications to its Electronics and Information Technology Goods (Requirements of Compulsory Registration) Order 2012:&lt;/span&gt;&lt;/span&gt;&lt;/span&gt;&lt;/span&gt;&lt;/p&gt;&lt;p style="text-indent:-36pt;margin-left:58.5pt;"&gt;&lt;span&gt;&lt;span style="font-size:x-small;font-face:Verdana;"&gt;&lt;span style="font-size:9pt;"&gt;&lt;span&gt;i)&lt;span style="font-size:x-small;font-face:Times New Roman;"&gt;&lt;span style="font:7pt/normal 'Times New Roman';"&gt;&amp;nbsp;&amp;nbsp;&amp;nbsp;&amp;nbsp;&amp;nbsp;&amp;nbsp;&amp;nbsp;&amp;nbsp;&amp;nbsp;&amp;nbsp;&amp;nbsp;&amp;nbsp;&amp;nbsp; &lt;/span&gt;&lt;/span&gt;&lt;/span&gt;&lt;/span&gt;&lt;/span&gt;&lt;span&gt;&amp;nbsp;&lt;/span&gt;Electronics and Information Technology Goods (Requirements for Compulsory Registration) Amendment Order, 2013 dated 25.6.2013&lt;/span&gt;&lt;/p&gt;&lt;p style="text-indent:-36pt;margin-left:58.5pt;"&gt;&lt;span&gt;&lt;span style="font-size:x-small;font-face:Verdana;"&gt;&lt;span style="font-size:9pt;"&gt;&lt;span&gt;ii)&lt;span style="font-size:x-small;font-face:Times New Roman;"&gt;&lt;span style="font:7pt/normal 'Times New Roman';"&gt;&amp;nbsp;&amp;nbsp;&amp;nbsp;&amp;nbsp;&amp;nbsp;&amp;nbsp;&amp;nbsp;&amp;nbsp;&amp;nbsp;&amp;nbsp;&amp;nbsp;&amp;nbsp; &lt;/span&gt;&lt;/span&gt;&lt;/span&gt;&lt;/span&gt;&lt;/span&gt;Extension in date of coming into effect of the Electronics and IT Goods (Requirement of Compulsory Registration) Order, 2012 for Goods under testing with BIS Recognized Labs dated 2.7.2013&lt;/span&gt;&lt;/p&gt;&lt;p style="text-indent:-36pt;margin-left:58.5pt;"&gt;&lt;span&gt;&lt;span style="font-size:x-small;font-face:Verdana;"&gt;&lt;span style="font-size:9pt;"&gt;&lt;span&gt;iii)&lt;span style="font-size:x-small;font-face:Times New Roman;"&gt;&lt;span style="font:7pt/normal 'Times New Roman';"&gt;&amp;nbsp;&amp;nbsp;&amp;nbsp;&amp;nbsp;&amp;nbsp;&amp;nbsp;&amp;nbsp;&amp;nbsp;&amp;nbsp;&amp;nbsp;&amp;nbsp; &lt;/span&gt;&lt;/span&gt;&lt;/span&gt;&lt;/span&gt;&lt;/span&gt;Electronics and Information Technology Goods (Requirements for Compulsory Registration) (Second Amendment) Order, 2013 dated 11.9.2013&lt;/span&gt;&lt;/p&gt;&lt;p style="text-indent:-36pt;margin-left:58.5pt;"&gt;&lt;span&gt;&lt;span style="font-size:x-small;font-face:Verdana;"&gt;&lt;span style="font-size:9pt;"&gt;&lt;span&gt;iv)&lt;span style="font-size:x-small;font-face:Times New Roman;"&gt;&lt;span style="font:7pt/normal 'Times New Roman';"&gt;&amp;nbsp;&amp;nbsp;&amp;nbsp;&amp;nbsp;&amp;nbsp;&amp;nbsp;&amp;nbsp;&amp;nbsp;&amp;nbsp;&amp;nbsp; &lt;/span&gt;&lt;/span&gt;&lt;/span&gt;&lt;/span&gt;&lt;/span&gt;Notification concerning the Implementation of Electronics and IT Goods (Requirement of Compulsory Registration) Order, 2012 dated 30.9.2013&lt;/span&gt;&lt;/p&gt;&lt;p style="text-indent:-36pt;margin-left:58.5pt;"&gt;&lt;span&gt;&lt;span style="font-size:x-small;font-face:Verdana;"&gt;&lt;span style="font-size:9pt;"&gt;&lt;span&gt;v)&lt;span style="font-size:x-small;font-face:Times New Roman;"&gt;&lt;span style="font:7pt/normal 'Times New Roman';"&gt;&amp;nbsp;&amp;nbsp;&amp;nbsp;&amp;nbsp;&amp;nbsp;&amp;nbsp;&amp;nbsp;&amp;nbsp;&amp;nbsp;&amp;nbsp;&amp;nbsp; &lt;/span&gt;&lt;/span&gt;&lt;/span&gt;&lt;/span&gt;&lt;/span&gt;Circular 1 of 2013  Clarifications on compliance to the Electronics and IT Goods (Requirement of Compulsory Registration) Order, 2012 dated 29.5.2013&lt;/span&gt;&lt;/p&gt;&lt;p style="text-indent:-36pt;margin-left:58.5pt;"&gt;&lt;span&gt;&lt;span style="font-size:x-small;font-face:Verdana;"&gt;&lt;span style="font-size:9pt;"&gt;&lt;span&gt;vi)&lt;span style="font-size:x-small;font-face:Times New Roman;"&gt;&lt;span style="font:7pt/normal 'Times New Roman';"&gt;&amp;nbsp;&amp;nbsp;&amp;nbsp;&amp;nbsp;&amp;nbsp;&amp;nbsp;&amp;nbsp;&amp;nbsp;&amp;nbsp;&amp;nbsp; &lt;/span&gt;&lt;/span&gt;&lt;/span&gt;&lt;/span&gt;&lt;/span&gt;Circular 2 of 2013  Clarifications on compliance to the Electronics and IT Goods (Requirement of Compulsory Registration) Order, 2012 dated 12.9.2013&lt;/span&gt;&lt;/p&gt;&lt;p style="text-indent:-36pt;margin-left:58.5pt;"&gt;&lt;span&gt;&lt;span style="font-size:x-small;font-face:Verdana;"&gt;&lt;span style="font-size:9pt;"&gt;&lt;span&gt;vii)&lt;span style="font-size:x-small;font-face:Times New Roman;"&gt;&lt;span style="font:7pt/normal 'Times New Roman';"&gt;&amp;nbsp;&amp;nbsp;&amp;nbsp;&amp;nbsp;&amp;nbsp;&amp;nbsp;&amp;nbsp;&amp;nbsp;&amp;nbsp; &lt;/span&gt;&lt;/span&gt;&lt;/span&gt;&lt;/span&gt;&lt;/span&gt;Circular 3 of 013  Extension in date of coming into effect of the Electronics and IT Goods (Requirement of Compulsory Registration) Order, 2012 dated 23.8.13 &lt;/span&gt;&lt;/p&gt;&lt;p&gt;&lt;span&gt;&lt;span style="font-size:x-small;font-face:Verdana;"&gt;&lt;/span&gt;&lt;/span&gt;&lt;/p&gt;&lt;p style="text-indent:1cm;"&gt;&lt;span&gt;&lt;span style="font-size:x-small;font-face:Verdana;"&gt;&lt;span style="font-size:9pt;"&gt;&lt;span&gt;&lt;span&gt;&amp;nbsp;&lt;/span&gt;&lt;span&gt;&amp;nbsp;&lt;/span&gt;&lt;/span&gt;&lt;/span&gt;&lt;/span&gt;&lt;/span&gt;&lt;/p&gt;&lt;p style="text-indent:1cm;"&gt;&lt;span&gt;&lt;span style="font-size:x-small;font-face:Verdana;"&gt;&lt;span style="font-size:9pt;"&gt;&lt;span&gt;The detailed texts of the above amendments/ circulars/notifications are available on the website &lt;/span&gt;&lt;/span&gt;&lt;/span&gt;&lt;/span&gt;&lt;a href="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"http://www.deity.gov.in"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http://www.deity.gov.in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>"&gt;&lt;span&gt;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"http://www.deity.gov.in"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www.deity.gov.in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>&lt;/span&gt;&lt;/a&gt;&lt;span&gt;. Details of the Order are also available on the dedicated website of the Electronics Standards of India at &lt;/span&gt;&lt;a href="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"http://www.electronicstds.gov.in"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http://www.electronicstds.gov.in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>"&gt;&lt;span&gt;</w:t>
      </w:r>
      <w:r w:rsidRPr="002F663C">
        <w:rPr>
          <w:rFonts w:eastAsia="Calibri" w:cs="Times New Roman"/>
          <w:szCs w:val="18"/>
        </w:rPr>
        <w:fldChar w:fldCharType="begin"/>
      </w:r>
      <w:r w:rsidRPr="002F663C">
        <w:rPr>
          <w:rFonts w:eastAsia="Calibri" w:cs="Times New Roman"/>
          <w:szCs w:val="18"/>
        </w:rPr>
        <w:instrText xml:space="preserve"> HYPERLINK "http://www.electronicstds.gov.in" </w:instrText>
      </w:r>
      <w:r w:rsidRPr="002F663C">
        <w:rPr>
          <w:rFonts w:eastAsia="Calibri" w:cs="Times New Roman"/>
          <w:szCs w:val="18"/>
        </w:rPr>
        <w:fldChar w:fldCharType="separate"/>
      </w:r>
      <w:r w:rsidRPr="002F663C">
        <w:rPr>
          <w:rFonts w:eastAsia="Calibri" w:cs="Times New Roman"/>
          <w:color w:val="0000FF"/>
          <w:szCs w:val="18"/>
          <w:u w:val="single"/>
        </w:rPr>
        <w:t>www.electronicstds.gov.in</w:t>
      </w:r>
      <w:r w:rsidRPr="002F663C">
        <w:rPr>
          <w:rFonts w:eastAsia="Calibri" w:cs="Times New Roman"/>
          <w:szCs w:val="18"/>
        </w:rPr>
        <w:fldChar w:fldCharType="end"/>
      </w:r>
      <w:r w:rsidRPr="002F663C">
        <w:rPr>
          <w:rFonts w:eastAsia="Calibri" w:cs="Times New Roman"/>
          <w:szCs w:val="18"/>
        </w:rPr>
        <w:t>&lt;/span&gt;&lt;/a&gt;&lt;span&gt;. &lt;/span&gt;&lt;/p&gt;</w:t>
      </w:r>
      <w:bookmarkStart w:id="28" w:name="bmkNotifiedDocumentTitle"/>
      <w:bookmarkEnd w:id="28"/>
    </w:p>
    <w:p w:rsidR="006C5A96" w:rsidP="006C5A96" w14:paraId="4BD3BCB1" w14:textId="0CB075B8">
      <w:pPr>
        <w:jc w:val="center"/>
        <w:rPr>
          <w:b/>
        </w:rPr>
      </w:pPr>
      <w:r w:rsidRPr="003971FF">
        <w:rPr>
          <w:b/>
        </w:rPr>
        <w:t>__________</w:t>
      </w:r>
    </w:p>
    <w:p w:rsidR="004D4D19" w:rsidP="007F38C2" w14:paraId="1691EEC7" w14:textId="77777777">
      <w:pPr>
        <w:jc w:val="center"/>
        <w:rPr>
          <w:b/>
        </w:rPr>
      </w:pPr>
    </w:p>
    <w:p w:rsidR="00A1565D" w:rsidP="003971FF" w14:paraId="35EA29AA" w14:textId="77777777">
      <w:pPr>
        <w:jc w:val="center"/>
        <w:rPr>
          <w:b/>
        </w:rPr>
      </w:pPr>
    </w:p>
    <w:sectPr w:rsidSect="006C5A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notePr>
        <w:numRestart w:val="eachSect"/>
      </w:footnotePr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20AF9BD" w14:textId="050DDCA6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4326" w:rsidRPr="00DD3DD7" w:rsidP="00DD3DD7" w14:paraId="08953ED2" w14:textId="1B77A7BB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B5622" w:rsidP="00ED54E0" w14:paraId="22B0749A" w14:textId="77777777">
      <w:r>
        <w:separator/>
      </w:r>
    </w:p>
  </w:footnote>
  <w:footnote w:type="continuationSeparator" w:id="1">
    <w:p w:rsidR="00BB5622" w:rsidP="00ED54E0" w14:paraId="55C3F52C" w14:textId="77777777">
      <w:r>
        <w:continuationSeparator/>
      </w:r>
    </w:p>
  </w:footnote>
  <w:footnote w:id="2">
    <w:p w:rsidR="007F6EA2" w14:paraId="06555BBF" w14:textId="271C7F5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65A73" w:rsidR="00B65A73">
        <w:t>This information can be provided by including a website address, a pdf attachment, or other information on where the text of the final</w:t>
      </w:r>
      <w:r w:rsidR="002B2435">
        <w:t>/modified</w:t>
      </w:r>
      <w:bookmarkStart w:id="16" w:name="_GoBack"/>
      <w:bookmarkEnd w:id="16"/>
      <w:r w:rsidRPr="00B65A73" w:rsidR="00B65A73">
        <w:t xml:space="preserve"> measure and/or interpretive guidance can be obtained.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P="00DD3DD7" w14:paraId="056660E8" w14:textId="21122BC2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29" w:name="bmkSymbols2"/>
    <w:r>
      <w:t>G/TBT/N/IND/44/Add.2</w:t>
    </w:r>
    <w:bookmarkEnd w:id="29"/>
  </w:p>
  <w:p w:rsidR="004D4D19" w:rsidRPr="00DD3DD7" w:rsidP="00DD3DD7" w14:paraId="51258386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198D8F9B" w14:textId="312F79F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2</w:t>
    </w:r>
    <w:r w:rsidRPr="00DD3DD7">
      <w:fldChar w:fldCharType="end"/>
    </w:r>
    <w:r w:rsidRPr="00DD3DD7">
      <w:t xml:space="preserve"> -</w:t>
    </w:r>
  </w:p>
  <w:p w:rsidR="00544326" w:rsidRPr="00DD3DD7" w:rsidP="00DD3DD7" w14:paraId="39AAF5CB" w14:textId="49032ACB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3DD7" w:rsidRPr="00DD3DD7" w:rsidP="00DD3DD7" w14:paraId="354AF321" w14:textId="1CEC67D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bookmarkStart w:id="30" w:name="spsSymbolHeader"/>
    <w:r w:rsidRPr="006C5A96">
      <w:t>G/TBT/N/IND/44/Add.2</w:t>
    </w:r>
    <w:bookmarkEnd w:id="30"/>
  </w:p>
  <w:p w:rsidR="00DD3DD7" w:rsidRPr="00DD3DD7" w:rsidP="00DD3DD7" w14:paraId="0E756728" w14:textId="7777777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DD3DD7" w:rsidRPr="00DD3DD7" w:rsidP="00DD3DD7" w14:paraId="612AC1C3" w14:textId="175E0F1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DD3DD7">
      <w:t xml:space="preserve">- </w:t>
    </w:r>
    <w:r w:rsidRPr="00DD3DD7">
      <w:fldChar w:fldCharType="begin"/>
    </w:r>
    <w:r w:rsidRPr="00DD3DD7">
      <w:instrText xml:space="preserve"> PAGE </w:instrText>
    </w:r>
    <w:r w:rsidRPr="00DD3DD7">
      <w:fldChar w:fldCharType="separate"/>
    </w:r>
    <w:r w:rsidRPr="00DD3DD7">
      <w:rPr>
        <w:noProof/>
      </w:rPr>
      <w:t>3</w:t>
    </w:r>
    <w:r w:rsidRPr="00DD3DD7">
      <w:fldChar w:fldCharType="end"/>
    </w:r>
    <w:r w:rsidRPr="00DD3DD7">
      <w:t xml:space="preserve"> -</w:t>
    </w:r>
  </w:p>
  <w:p w:rsidR="00544326" w:rsidRPr="00DD3DD7" w:rsidP="00DD3DD7" w14:paraId="4233A357" w14:textId="7FD673F0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/>
    </w:tblPr>
    <w:tblGrid>
      <w:gridCol w:w="3794"/>
      <w:gridCol w:w="2123"/>
      <w:gridCol w:w="3325"/>
    </w:tblGrid>
    <w:tr w14:paraId="6777546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34C5524F" w14:textId="20390CE5">
          <w:pPr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10F3790B" w14:textId="72579C12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 xml:space="preserve"> </w:t>
          </w:r>
        </w:p>
      </w:tc>
    </w:tr>
    <w:tr w14:paraId="6F180BFB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182B84" w:rsidP="00425DC5" w14:paraId="67ED5F69" w14:textId="77777777">
          <w:pPr>
            <w:jc w:val="left"/>
          </w:pPr>
          <w:r w:rsidRPr="00182B84">
            <w:rPr>
              <w:noProof/>
              <w:lang w:val="en-US"/>
            </w:rPr>
            <w:drawing>
              <wp:inline distT="0" distB="0" distL="0" distR="0">
                <wp:extent cx="2398395" cy="716280"/>
                <wp:effectExtent l="0" t="0" r="1905" b="7620"/>
                <wp:docPr id="5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1984066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9839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18722C3E" w14:textId="77777777">
          <w:pPr>
            <w:jc w:val="right"/>
            <w:rPr>
              <w:b/>
              <w:szCs w:val="16"/>
            </w:rPr>
          </w:pPr>
        </w:p>
      </w:tc>
    </w:tr>
    <w:tr w14:paraId="4BD4250A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182B84" w:rsidP="00425DC5" w14:paraId="089084A3" w14:textId="77777777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DD3DD7" w:rsidRPr="002F663C" w:rsidP="00DD3DD7" w14:paraId="20D024DB" w14:textId="78812551">
          <w:pPr>
            <w:jc w:val="right"/>
            <w:rPr>
              <w:rFonts w:eastAsia="Calibri" w:cs="Times New Roman"/>
              <w:b/>
              <w:szCs w:val="16"/>
            </w:rPr>
          </w:pPr>
          <w:bookmarkStart w:id="31" w:name="bmkSymbols"/>
          <w:r w:rsidRPr="00C14444">
            <w:rPr>
              <w:rFonts w:eastAsia="Calibri" w:cs="Times New Roman"/>
              <w:b/>
              <w:szCs w:val="16"/>
            </w:rPr>
            <w:t>G/TBT/N/IND/44/Add.2</w:t>
          </w:r>
          <w:bookmarkEnd w:id="31"/>
        </w:p>
        <w:p w:rsidR="00C14444" w:rsidRPr="00C14444" w:rsidP="00C14444" w14:paraId="62860E01" w14:textId="6BC30BE6">
          <w:pPr>
            <w:jc w:val="center"/>
            <w:rPr>
              <w:szCs w:val="16"/>
            </w:rPr>
          </w:pPr>
        </w:p>
      </w:tc>
    </w:tr>
    <w:tr w14:paraId="4C8C52C3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249DC0F5" w14:textId="77777777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182B84" w:rsidP="00425DC5" w14:paraId="5300460D" w14:textId="3B1F22D4">
          <w:pPr>
            <w:jc w:val="right"/>
            <w:rPr>
              <w:szCs w:val="16"/>
            </w:rPr>
          </w:pPr>
          <w:bookmarkStart w:id="32" w:name="bmkDate"/>
          <w:r>
            <w:rPr>
              <w:rFonts w:eastAsia="Calibri" w:cs="Times New Roman"/>
              <w:szCs w:val="16"/>
            </w:rPr>
            <w:t>24 October 2013</w:t>
          </w:r>
          <w:bookmarkEnd w:id="32"/>
        </w:p>
      </w:tc>
    </w:tr>
    <w:tr w14:paraId="10A411E9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3E4FEE36" w14:textId="46917415">
          <w:pPr>
            <w:jc w:val="left"/>
            <w:rPr>
              <w:b/>
            </w:rPr>
          </w:pPr>
          <w:r w:rsidRPr="002F663C">
            <w:rPr>
              <w:rFonts w:eastAsia="Calibri" w:cs="Times New Roman"/>
              <w:color w:val="FF0000"/>
              <w:szCs w:val="16"/>
            </w:rPr>
            <w:t>(</w:t>
          </w:r>
          <w:bookmarkStart w:id="33" w:name="bmkSerial"/>
          <w:r w:rsidR="00F357E7">
            <w:rPr>
              <w:rFonts w:eastAsia="Calibri" w:cs="Times New Roman"/>
              <w:color w:val="FF0000"/>
              <w:szCs w:val="16"/>
            </w:rPr>
            <w:t>00</w:t>
          </w:r>
          <w:r w:rsidRPr="002F663C">
            <w:rPr>
              <w:rFonts w:eastAsia="Calibri" w:cs="Times New Roman"/>
              <w:color w:val="FF0000"/>
              <w:szCs w:val="16"/>
            </w:rPr>
            <w:t>-</w:t>
          </w:r>
          <w:r w:rsidR="00F357E7">
            <w:rPr>
              <w:rFonts w:eastAsia="Calibri" w:cs="Times New Roman"/>
              <w:color w:val="FF0000"/>
              <w:szCs w:val="16"/>
            </w:rPr>
            <w:t>0000</w:t>
          </w:r>
          <w:bookmarkEnd w:id="33"/>
          <w:r w:rsidRPr="002F663C">
            <w:rPr>
              <w:rFonts w:eastAsia="Calibri" w:cs="Times New Roman"/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182B84" w:rsidP="00425DC5" w14:paraId="1B7272A0" w14:textId="77777777">
          <w:pPr>
            <w:jc w:val="right"/>
            <w:rPr>
              <w:szCs w:val="16"/>
            </w:rPr>
          </w:pPr>
          <w:r w:rsidRPr="00182B84">
            <w:rPr>
              <w:bCs/>
              <w:szCs w:val="16"/>
            </w:rPr>
            <w:t xml:space="preserve">Page: 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PAGE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  <w:r w:rsidRPr="00182B84">
            <w:rPr>
              <w:bCs/>
              <w:szCs w:val="16"/>
            </w:rPr>
            <w:t>/</w:t>
          </w:r>
          <w:r w:rsidRPr="00182B84">
            <w:rPr>
              <w:bCs/>
              <w:szCs w:val="16"/>
            </w:rPr>
            <w:fldChar w:fldCharType="begin"/>
          </w:r>
          <w:r w:rsidRPr="00182B84">
            <w:rPr>
              <w:bCs/>
              <w:szCs w:val="16"/>
            </w:rPr>
            <w:instrText xml:space="preserve"> NUMPAGES  \* Arabic  \* MERGEFORMAT </w:instrText>
          </w:r>
          <w:r w:rsidRPr="00182B84">
            <w:rPr>
              <w:bCs/>
              <w:szCs w:val="16"/>
            </w:rPr>
            <w:fldChar w:fldCharType="separate"/>
          </w:r>
          <w:r w:rsidR="00F04A9D">
            <w:rPr>
              <w:bCs/>
              <w:noProof/>
              <w:szCs w:val="16"/>
            </w:rPr>
            <w:t>1</w:t>
          </w:r>
          <w:r w:rsidRPr="00182B84">
            <w:rPr>
              <w:bCs/>
              <w:szCs w:val="16"/>
            </w:rPr>
            <w:fldChar w:fldCharType="end"/>
          </w:r>
        </w:p>
      </w:tc>
    </w:tr>
    <w:tr w14:paraId="0D183234" w14:textId="77777777" w:rsidTr="00544326">
      <w:tblPrEx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Ex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014FCA73" w14:textId="52BEAC62">
          <w:pPr>
            <w:jc w:val="left"/>
            <w:rPr>
              <w:sz w:val="14"/>
              <w:szCs w:val="16"/>
            </w:rPr>
          </w:pPr>
          <w:r>
            <w:rPr>
              <w:b/>
            </w:rPr>
            <w:t>Committee on Technical Barriers to Trade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182B84" w:rsidP="00425DC5" w14:paraId="6D165718" w14:textId="2C02CD1C">
          <w:pPr>
            <w:jc w:val="right"/>
            <w:rPr>
              <w:bCs/>
              <w:szCs w:val="18"/>
            </w:rPr>
          </w:pPr>
          <w:r w:rsidRPr="002F663C">
            <w:rPr>
              <w:rFonts w:eastAsia="Calibri" w:cs="Times New Roman"/>
              <w:bCs/>
              <w:szCs w:val="18"/>
            </w:rPr>
            <w:t xml:space="preserve">Original: </w:t>
          </w:r>
          <w:bookmarkStart w:id="34" w:name="bmkOriginalLanguage"/>
          <w:r w:rsidR="00A001F6">
            <w:rPr>
              <w:rFonts w:eastAsia="Calibri" w:cs="Times New Roman"/>
              <w:bCs/>
              <w:szCs w:val="18"/>
            </w:rPr>
            <w:t>English</w:t>
          </w:r>
          <w:bookmarkEnd w:id="34"/>
        </w:p>
      </w:tc>
    </w:tr>
  </w:tbl>
  <w:p w:rsidR="00ED54E0" w:rsidP="00DD3DD7" w14:paraId="744AA4E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  <w:lvl w:ilvl="0">
      <w:start w:val="1"/>
      <w:numFmt w:val="decimal"/>
      <w:lvlJc w:val="left"/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>
      <w:start w:val="1"/>
      <w:numFmt w:val="decimal"/>
      <w:pStyle w:val="SummaryText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  <w:lvlOverride w:ilvl="0">
      <w:lvl w:ilvl="0">
        <w:start w:val="1"/>
        <w:numFmt w:val="decimal"/>
        <w:pStyle w:val="Heading1"/>
        <w:isLgl/>
        <w:suff w:val="nothing"/>
        <w:lvlText w:val="%1  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isLgl/>
        <w:suff w:val="nothing"/>
        <w:lvlText w:val="%1.%2  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isLgl/>
        <w:suff w:val="nothing"/>
        <w:lvlText w:val="%1.%2.%3  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isLgl/>
        <w:suff w:val="nothing"/>
        <w:lvlText w:val="%1.%2.%3.%4  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isLgl/>
        <w:suff w:val="nothing"/>
        <w:lvlText w:val="%1.%2.%3.%4.%5  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pStyle w:val="Heading6"/>
        <w:isLgl/>
        <w:suff w:val="nothing"/>
        <w:lvlText w:val="%1.%2.%3.%4.%5.%6  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1"/>
        <w:pStyle w:val="BodyText"/>
        <w:isLgl/>
        <w:suff w:val="nothing"/>
        <w:lvlText w:val="%1.%7.  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BodyText2"/>
        <w:lvlText w:val="%8."/>
        <w:lvlJc w:val="left"/>
        <w:pPr>
          <w:tabs>
            <w:tab w:val="num" w:pos="907"/>
          </w:tabs>
          <w:ind w:left="907" w:hanging="340"/>
        </w:pPr>
        <w:rPr>
          <w:rFonts w:hint="default"/>
        </w:rPr>
      </w:lvl>
    </w:lvlOverride>
    <w:lvlOverride w:ilvl="8">
      <w:lvl w:ilvl="8">
        <w:start w:val="1"/>
        <w:numFmt w:val="lowerRoman"/>
        <w:pStyle w:val="BodyText3"/>
        <w:lvlText w:val="%9."/>
        <w:lvlJc w:val="left"/>
        <w:pPr>
          <w:tabs>
            <w:tab w:val="num" w:pos="1247"/>
          </w:tabs>
          <w:ind w:left="1247" w:hanging="3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ttachedTemplate r:id="rId1"/>
  <w:defaultTabStop w:val="567"/>
  <w:characterSpacingControl w:val="doNotCompress"/>
  <w:footnotePr>
    <w:numRestart w:val="eachSect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63C"/>
    <w:rsid w:val="00010D6C"/>
    <w:rsid w:val="000272F6"/>
    <w:rsid w:val="00037AC4"/>
    <w:rsid w:val="000423BF"/>
    <w:rsid w:val="00043ECC"/>
    <w:rsid w:val="000539E2"/>
    <w:rsid w:val="000700FF"/>
    <w:rsid w:val="00082727"/>
    <w:rsid w:val="000923D1"/>
    <w:rsid w:val="000A0633"/>
    <w:rsid w:val="000A4945"/>
    <w:rsid w:val="000A5283"/>
    <w:rsid w:val="000B31E1"/>
    <w:rsid w:val="000C5214"/>
    <w:rsid w:val="000F3D39"/>
    <w:rsid w:val="001120DB"/>
    <w:rsid w:val="0011356B"/>
    <w:rsid w:val="00124403"/>
    <w:rsid w:val="0013337F"/>
    <w:rsid w:val="0013637D"/>
    <w:rsid w:val="001642F0"/>
    <w:rsid w:val="00175DD6"/>
    <w:rsid w:val="00182B84"/>
    <w:rsid w:val="001C2A9D"/>
    <w:rsid w:val="001E291F"/>
    <w:rsid w:val="001E2E4A"/>
    <w:rsid w:val="00223DA8"/>
    <w:rsid w:val="00233408"/>
    <w:rsid w:val="00265A0E"/>
    <w:rsid w:val="0027067B"/>
    <w:rsid w:val="00281997"/>
    <w:rsid w:val="002B2435"/>
    <w:rsid w:val="002B2F95"/>
    <w:rsid w:val="002D78C9"/>
    <w:rsid w:val="002F663C"/>
    <w:rsid w:val="00304F14"/>
    <w:rsid w:val="003156C6"/>
    <w:rsid w:val="00327D40"/>
    <w:rsid w:val="00335575"/>
    <w:rsid w:val="003572B4"/>
    <w:rsid w:val="00370A55"/>
    <w:rsid w:val="00381A7D"/>
    <w:rsid w:val="003971FF"/>
    <w:rsid w:val="00397FF5"/>
    <w:rsid w:val="004244A9"/>
    <w:rsid w:val="00425DC5"/>
    <w:rsid w:val="00467032"/>
    <w:rsid w:val="0046754A"/>
    <w:rsid w:val="00467A46"/>
    <w:rsid w:val="004A220F"/>
    <w:rsid w:val="004C5A53"/>
    <w:rsid w:val="004D4D19"/>
    <w:rsid w:val="004F203A"/>
    <w:rsid w:val="005336B8"/>
    <w:rsid w:val="00544326"/>
    <w:rsid w:val="00547B5F"/>
    <w:rsid w:val="005733F2"/>
    <w:rsid w:val="00573D49"/>
    <w:rsid w:val="005A1A22"/>
    <w:rsid w:val="005B04B9"/>
    <w:rsid w:val="005B3ACA"/>
    <w:rsid w:val="005B68C7"/>
    <w:rsid w:val="005B7054"/>
    <w:rsid w:val="005C353B"/>
    <w:rsid w:val="005C6920"/>
    <w:rsid w:val="005D5981"/>
    <w:rsid w:val="005F30CB"/>
    <w:rsid w:val="00612644"/>
    <w:rsid w:val="00615DE8"/>
    <w:rsid w:val="00620F21"/>
    <w:rsid w:val="0062527B"/>
    <w:rsid w:val="0064657D"/>
    <w:rsid w:val="00657B4C"/>
    <w:rsid w:val="00674CCD"/>
    <w:rsid w:val="006B3175"/>
    <w:rsid w:val="006C5A96"/>
    <w:rsid w:val="006E7D82"/>
    <w:rsid w:val="006F5826"/>
    <w:rsid w:val="00700181"/>
    <w:rsid w:val="00711F9C"/>
    <w:rsid w:val="007141CF"/>
    <w:rsid w:val="0071546B"/>
    <w:rsid w:val="00724E52"/>
    <w:rsid w:val="00745146"/>
    <w:rsid w:val="007577E3"/>
    <w:rsid w:val="00760003"/>
    <w:rsid w:val="00760DB3"/>
    <w:rsid w:val="00771C40"/>
    <w:rsid w:val="007755FC"/>
    <w:rsid w:val="00782B32"/>
    <w:rsid w:val="00782EF4"/>
    <w:rsid w:val="00787DBC"/>
    <w:rsid w:val="007B3D3F"/>
    <w:rsid w:val="007E6507"/>
    <w:rsid w:val="007F2B8E"/>
    <w:rsid w:val="007F32D1"/>
    <w:rsid w:val="007F38C2"/>
    <w:rsid w:val="007F6EA2"/>
    <w:rsid w:val="00807247"/>
    <w:rsid w:val="00816096"/>
    <w:rsid w:val="0082081F"/>
    <w:rsid w:val="00832639"/>
    <w:rsid w:val="00840C2B"/>
    <w:rsid w:val="008739FD"/>
    <w:rsid w:val="00893E85"/>
    <w:rsid w:val="008A0701"/>
    <w:rsid w:val="008B1018"/>
    <w:rsid w:val="008C42D2"/>
    <w:rsid w:val="008E2C13"/>
    <w:rsid w:val="008E372C"/>
    <w:rsid w:val="00917235"/>
    <w:rsid w:val="00992AEA"/>
    <w:rsid w:val="009A4D36"/>
    <w:rsid w:val="009A6F54"/>
    <w:rsid w:val="009F7637"/>
    <w:rsid w:val="00A001F6"/>
    <w:rsid w:val="00A1565D"/>
    <w:rsid w:val="00A20371"/>
    <w:rsid w:val="00A372AC"/>
    <w:rsid w:val="00A43C3A"/>
    <w:rsid w:val="00A6057A"/>
    <w:rsid w:val="00A72245"/>
    <w:rsid w:val="00A74017"/>
    <w:rsid w:val="00AA332C"/>
    <w:rsid w:val="00AA6B9C"/>
    <w:rsid w:val="00AB3D96"/>
    <w:rsid w:val="00AC27F8"/>
    <w:rsid w:val="00AD3047"/>
    <w:rsid w:val="00AD4C72"/>
    <w:rsid w:val="00AD55DF"/>
    <w:rsid w:val="00AE2AEE"/>
    <w:rsid w:val="00AE568A"/>
    <w:rsid w:val="00B00276"/>
    <w:rsid w:val="00B053E7"/>
    <w:rsid w:val="00B16ACF"/>
    <w:rsid w:val="00B17BD8"/>
    <w:rsid w:val="00B230EC"/>
    <w:rsid w:val="00B27953"/>
    <w:rsid w:val="00B41614"/>
    <w:rsid w:val="00B52738"/>
    <w:rsid w:val="00B56EDC"/>
    <w:rsid w:val="00B65A73"/>
    <w:rsid w:val="00BB1341"/>
    <w:rsid w:val="00BB1F84"/>
    <w:rsid w:val="00BB5622"/>
    <w:rsid w:val="00BE5468"/>
    <w:rsid w:val="00BF067B"/>
    <w:rsid w:val="00C11EAC"/>
    <w:rsid w:val="00C14444"/>
    <w:rsid w:val="00C15F6D"/>
    <w:rsid w:val="00C2459D"/>
    <w:rsid w:val="00C305D7"/>
    <w:rsid w:val="00C30F2A"/>
    <w:rsid w:val="00C425A5"/>
    <w:rsid w:val="00C43456"/>
    <w:rsid w:val="00C50BF8"/>
    <w:rsid w:val="00C65C0C"/>
    <w:rsid w:val="00C808FC"/>
    <w:rsid w:val="00C90A38"/>
    <w:rsid w:val="00C94EC2"/>
    <w:rsid w:val="00CA5556"/>
    <w:rsid w:val="00CB629C"/>
    <w:rsid w:val="00CD7D97"/>
    <w:rsid w:val="00CE3EE6"/>
    <w:rsid w:val="00CE4BA1"/>
    <w:rsid w:val="00D000C7"/>
    <w:rsid w:val="00D221B8"/>
    <w:rsid w:val="00D22E2C"/>
    <w:rsid w:val="00D51C5C"/>
    <w:rsid w:val="00D52A9D"/>
    <w:rsid w:val="00D55AAD"/>
    <w:rsid w:val="00D747AE"/>
    <w:rsid w:val="00D9226C"/>
    <w:rsid w:val="00D95F69"/>
    <w:rsid w:val="00DA20BD"/>
    <w:rsid w:val="00DA4169"/>
    <w:rsid w:val="00DC1434"/>
    <w:rsid w:val="00DD3DD7"/>
    <w:rsid w:val="00DD4208"/>
    <w:rsid w:val="00DE1F32"/>
    <w:rsid w:val="00DE50DB"/>
    <w:rsid w:val="00DF085F"/>
    <w:rsid w:val="00DF6AE1"/>
    <w:rsid w:val="00E0707F"/>
    <w:rsid w:val="00E1426C"/>
    <w:rsid w:val="00E46FD5"/>
    <w:rsid w:val="00E544BB"/>
    <w:rsid w:val="00E56545"/>
    <w:rsid w:val="00E626B0"/>
    <w:rsid w:val="00E9471B"/>
    <w:rsid w:val="00EA5D4F"/>
    <w:rsid w:val="00EB2EDB"/>
    <w:rsid w:val="00EB6C56"/>
    <w:rsid w:val="00EB7B40"/>
    <w:rsid w:val="00EC74B2"/>
    <w:rsid w:val="00ED1D47"/>
    <w:rsid w:val="00ED54E0"/>
    <w:rsid w:val="00EE587D"/>
    <w:rsid w:val="00EF639C"/>
    <w:rsid w:val="00F03D59"/>
    <w:rsid w:val="00F04A9D"/>
    <w:rsid w:val="00F05F0C"/>
    <w:rsid w:val="00F15787"/>
    <w:rsid w:val="00F32397"/>
    <w:rsid w:val="00F357E7"/>
    <w:rsid w:val="00F359DB"/>
    <w:rsid w:val="00F40595"/>
    <w:rsid w:val="00F53557"/>
    <w:rsid w:val="00F77BEC"/>
    <w:rsid w:val="00F810EA"/>
    <w:rsid w:val="00FA1663"/>
    <w:rsid w:val="00FA5EBC"/>
    <w:rsid w:val="00FA6F48"/>
    <w:rsid w:val="00FD224A"/>
    <w:rsid w:val="00FD28F0"/>
    <w:rsid w:val="00FE4603"/>
    <w:rsid w:val="00FF04A8"/>
    <w:rsid w:val="00FF4616"/>
  </w:rsids>
  <m:mathPr>
    <m:mathFont m:val="Cambria Math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2" w:qFormat="1"/>
    <w:lsdException w:name="heading 7" w:uiPriority="2"/>
    <w:lsdException w:name="heading 8" w:uiPriority="2"/>
    <w:lsdException w:name="heading 9" w:uiPriority="2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49" w:unhideWhenUsed="1"/>
    <w:lsdException w:name="endnote text" w:semiHidden="1" w:uiPriority="49" w:unhideWhenUsed="1"/>
    <w:lsdException w:name="table of authorities" w:semiHidden="1" w:uiPriority="39" w:unhideWhenUsed="1"/>
    <w:lsdException w:name="macro" w:semiHidden="1" w:unhideWhenUsed="1"/>
    <w:lsdException w:name="toa heading" w:semiHidden="1" w:uiPriority="39" w:unhideWhenUsed="1"/>
    <w:lsdException w:name="List" w:semiHidden="1" w:unhideWhenUsed="1"/>
    <w:lsdException w:name="List Bullet" w:uiPriority="1"/>
    <w:lsdException w:name="List Number" w:semiHidden="1" w:uiPriority="4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 w:qFormat="1"/>
    <w:lsdException w:name="List Bullet 4" w:uiPriority="1"/>
    <w:lsdException w:name="List Bullet 5" w:uiPriority="1"/>
    <w:lsdException w:name="List Number 2" w:semiHidden="1" w:uiPriority="49" w:unhideWhenUsed="1"/>
    <w:lsdException w:name="List Number 3" w:semiHidden="1" w:uiPriority="49" w:unhideWhenUsed="1"/>
    <w:lsdException w:name="List Number 4" w:semiHidden="1" w:uiPriority="49" w:unhideWhenUsed="1"/>
    <w:lsdException w:name="List Number 5" w:semiHidden="1" w:uiPriority="49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qFormat="1"/>
    <w:lsdException w:name="Book Title" w:semiHidden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38"/>
    <w:pPr>
      <w:spacing w:after="0" w:line="240" w:lineRule="auto"/>
      <w:jc w:val="both"/>
    </w:pPr>
    <w:rPr>
      <w:rFonts w:ascii="Verdana" w:hAnsi="Verdana"/>
      <w:sz w:val="18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B230EC"/>
    <w:rPr>
      <w:rFonts w:ascii="Verdana" w:hAnsi="Verdana" w:eastAsiaTheme="majorEastAsia" w:cstheme="majorBidi"/>
      <w:b/>
      <w:bCs/>
      <w:caps/>
      <w:color w:val="006283"/>
      <w:sz w:val="18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B230EC"/>
    <w:rPr>
      <w:rFonts w:ascii="Verdana" w:hAnsi="Verdana" w:eastAsiaTheme="majorEastAsia" w:cstheme="majorBidi"/>
      <w:b/>
      <w:bCs/>
      <w:color w:val="006283"/>
      <w:sz w:val="18"/>
      <w:szCs w:val="26"/>
    </w:rPr>
  </w:style>
  <w:style w:type="character" w:customStyle="1" w:styleId="Heading3Char">
    <w:name w:val="Heading 3 Char"/>
    <w:basedOn w:val="DefaultParagraphFont"/>
    <w:link w:val="Heading3"/>
    <w:uiPriority w:val="2"/>
    <w:rsid w:val="00B230EC"/>
    <w:rPr>
      <w:rFonts w:ascii="Verdana" w:hAnsi="Verdana" w:eastAsiaTheme="majorEastAsia" w:cstheme="majorBidi"/>
      <w:b/>
      <w:bCs/>
      <w:color w:val="006283"/>
      <w:sz w:val="18"/>
    </w:rPr>
  </w:style>
  <w:style w:type="character" w:customStyle="1" w:styleId="Heading4Char">
    <w:name w:val="Heading 4 Char"/>
    <w:basedOn w:val="DefaultParagraphFont"/>
    <w:link w:val="Heading4"/>
    <w:uiPriority w:val="2"/>
    <w:rsid w:val="00B230EC"/>
    <w:rPr>
      <w:rFonts w:ascii="Verdana" w:hAnsi="Verdana" w:eastAsiaTheme="majorEastAsia" w:cstheme="majorBidi"/>
      <w:b/>
      <w:bCs/>
      <w:iCs/>
      <w:color w:val="006283"/>
      <w:sz w:val="18"/>
    </w:rPr>
  </w:style>
  <w:style w:type="character" w:customStyle="1" w:styleId="Heading5Char">
    <w:name w:val="Heading 5 Char"/>
    <w:basedOn w:val="DefaultParagraphFont"/>
    <w:link w:val="Heading5"/>
    <w:uiPriority w:val="2"/>
    <w:rsid w:val="00B230EC"/>
    <w:rPr>
      <w:rFonts w:ascii="Verdana" w:hAnsi="Verdana" w:eastAsiaTheme="majorEastAsia" w:cstheme="majorBidi"/>
      <w:b/>
      <w:color w:val="006283"/>
      <w:sz w:val="18"/>
    </w:rPr>
  </w:style>
  <w:style w:type="character" w:customStyle="1" w:styleId="Heading6Char">
    <w:name w:val="Heading 6 Char"/>
    <w:basedOn w:val="DefaultParagraphFont"/>
    <w:link w:val="Heading6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7Char">
    <w:name w:val="Heading 7 Char"/>
    <w:basedOn w:val="DefaultParagraphFont"/>
    <w:link w:val="Heading7"/>
    <w:uiPriority w:val="2"/>
    <w:rsid w:val="00B230EC"/>
    <w:rPr>
      <w:rFonts w:ascii="Verdana" w:hAnsi="Verdana" w:eastAsiaTheme="majorEastAsia" w:cstheme="majorBidi"/>
      <w:b/>
      <w:iCs/>
      <w:color w:val="006283"/>
      <w:sz w:val="18"/>
    </w:rPr>
  </w:style>
  <w:style w:type="character" w:customStyle="1" w:styleId="Heading8Char">
    <w:name w:val="Heading 8 Char"/>
    <w:basedOn w:val="DefaultParagraphFont"/>
    <w:link w:val="Heading8"/>
    <w:uiPriority w:val="2"/>
    <w:rsid w:val="00B230EC"/>
    <w:rPr>
      <w:rFonts w:ascii="Verdana" w:hAnsi="Verdana" w:eastAsiaTheme="majorEastAsia" w:cstheme="majorBidi"/>
      <w:b/>
      <w:i/>
      <w:color w:val="006283"/>
      <w:sz w:val="18"/>
      <w:szCs w:val="20"/>
    </w:rPr>
  </w:style>
  <w:style w:type="character" w:customStyle="1" w:styleId="Heading9Char">
    <w:name w:val="Heading 9 Char"/>
    <w:basedOn w:val="DefaultParagraphFont"/>
    <w:link w:val="Heading9"/>
    <w:uiPriority w:val="2"/>
    <w:rsid w:val="00B230EC"/>
    <w:rPr>
      <w:rFonts w:ascii="Verdana" w:hAnsi="Verdana" w:eastAsiaTheme="majorEastAsia" w:cstheme="majorBidi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B230EC"/>
    <w:rPr>
      <w:rFonts w:ascii="Verdana" w:hAnsi="Verdana" w:eastAsiaTheme="majorEastAsia" w:cstheme="majorBidi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qFormat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uiPriority w:val="5"/>
    <w:rsid w:val="00E5654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aliases w:val="Ref,de nota al pi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pPr>
      <w:spacing w:after="0" w:line="240" w:lineRule="auto"/>
    </w:pPr>
    <w:rPr>
      <w:rFonts w:ascii="Verdana" w:eastAsia="Calibri" w:hAnsi="Verdana" w:cs="Times New Roman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46FD5"/>
    <w:rPr>
      <w:rFonts w:ascii="Verdana" w:hAnsi="Verdana" w:eastAsiaTheme="majorEastAsia" w:cstheme="majorBidi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pPr>
      <w:spacing w:after="0" w:line="240" w:lineRule="auto"/>
    </w:pPr>
    <w:rPr>
      <w:rFonts w:ascii="Verdana" w:eastAsia="Calibri" w:hAnsi="Verdana" w:cs="Times New Roman"/>
      <w:sz w:val="16"/>
      <w:szCs w:val="20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B52738"/>
    <w:rPr>
      <w:color w:val="0000FF" w:themeColor="hyperlink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basedOn w:val="DefaultParagraphFont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basedOn w:val="DefaultParagraphFont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basedOn w:val="DefaultParagraphFont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47B5F"/>
    <w:rPr>
      <w:color w:val="800080" w:themeColor="followedHyperlink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basedOn w:val="DefaultParagraphFont"/>
    <w:uiPriority w:val="99"/>
    <w:semiHidden/>
    <w:unhideWhenUsed/>
    <w:rsid w:val="00547B5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47B5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47B5F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99"/>
    <w:semiHidden/>
    <w:rsid w:val="00547B5F"/>
    <w:rPr>
      <w:rFonts w:ascii="Verdana" w:hAnsi="Verdana"/>
      <w:b/>
      <w:bCs/>
      <w:i/>
      <w:iCs/>
      <w:color w:val="4F81BD" w:themeColor="accent1"/>
      <w:sz w:val="18"/>
    </w:rPr>
  </w:style>
  <w:style w:type="character" w:styleId="IntenseReference">
    <w:name w:val="Intense Reference"/>
    <w:basedOn w:val="DefaultParagraphFont"/>
    <w:uiPriority w:val="99"/>
    <w:semiHidden/>
    <w:qFormat/>
    <w:rsid w:val="00547B5F"/>
    <w:rPr>
      <w:b/>
      <w:bCs/>
      <w:smallCaps/>
      <w:color w:val="C0504D" w:themeColor="accent2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47B5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spacing w:after="0" w:line="240" w:lineRule="auto"/>
      <w:jc w:val="both"/>
    </w:pPr>
    <w:rPr>
      <w:rFonts w:ascii="Verdana" w:hAnsi="Verdana"/>
      <w:sz w:val="18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basedOn w:val="DefaultParagraphFon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99"/>
    <w:semiHidden/>
    <w:rsid w:val="00547B5F"/>
    <w:rPr>
      <w:rFonts w:ascii="Verdana" w:hAnsi="Verdana"/>
      <w:i/>
      <w:iCs/>
      <w:color w:val="000000" w:themeColor="text1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basedOn w:val="DefaultParagraphFont"/>
    <w:uiPriority w:val="99"/>
    <w:semiHidden/>
    <w:qFormat/>
    <w:rsid w:val="00547B5F"/>
    <w:rPr>
      <w:b/>
      <w:bCs/>
    </w:rPr>
  </w:style>
  <w:style w:type="character" w:styleId="SubtleEmphasis">
    <w:name w:val="Subtle Emphasis"/>
    <w:basedOn w:val="DefaultParagraphFont"/>
    <w:uiPriority w:val="99"/>
    <w:semiHidden/>
    <w:qFormat/>
    <w:rsid w:val="00547B5F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99"/>
    <w:semiHidden/>
    <w:qFormat/>
    <w:rsid w:val="00547B5F"/>
    <w:rPr>
      <w:smallCaps/>
      <w:color w:val="C0504D" w:themeColor="accent2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TitleDate">
    <w:name w:val="Title Date"/>
    <w:basedOn w:val="Normal"/>
    <w:next w:val="Normal"/>
    <w:uiPriority w:val="5"/>
    <w:qFormat/>
    <w:rsid w:val="00ED1D47"/>
    <w:pPr>
      <w:spacing w:after="240"/>
      <w:jc w:val="center"/>
    </w:pPr>
    <w:rPr>
      <w:rFonts w:eastAsia="Calibri" w:cs="Times New Roman"/>
      <w:color w:val="006283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74B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41614"/>
    <w:pPr>
      <w:spacing w:after="0" w:line="240" w:lineRule="auto"/>
    </w:pPr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RelyOnCSS/>
  <w:doNotOrganizeInFolder/>
  <w:doNotUseLongFileNames/>
  <w:pixelsPerInch w:val="0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header" Target="head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emf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Flanagan\AppData\Roaming\Microsoft\Templates\WTODOCE2012.DOT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8BA44-54A8-4E21-99A6-FDFD67683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cp:lastPrinted>2019-10-23T07:32:00Z</cp:lastPrinted>
  <dcterms:created xsi:type="dcterms:W3CDTF">2021-01-20T09:57:00Z</dcterms:created>
  <dcterms:modified xsi:type="dcterms:W3CDTF">2021-01-20T09:57:00Z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JOB/TBT/344</vt:lpwstr>
  </property>
  <property fmtid="{D5CDD505-2E9C-101B-9397-08002B2CF9AE}" pid="3" name="TitusGUID">
    <vt:lpwstr>dec036cc-94e5-415e-a5cf-6149de46aed8</vt:lpwstr>
  </property>
  <property fmtid="{D5CDD505-2E9C-101B-9397-08002B2CF9AE}" pid="4" name="WTOCLASSIFICATION">
    <vt:lpwstr>NC</vt:lpwstr>
  </property>
</Properties>
</file>