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16 August 2010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X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r w:rsidR="00467A46">
              <w:rPr>
                <w:rFonts w:eastAsia="Calibri" w:cs="Times New Roman"/>
              </w:rPr>
              <w:t>16 October 2010</w:t>
            </w:r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</w:rPr>
        <w:t xml:space="preserve">Modification of final date for comments for the draft regulation notified under G/TBT/N/UKR/48 ; ; Considering the requests of the trading partners as to extending the comment period for the draft regulation notified under G/TBT/N/UKR/48, the Ministry of Agricultural Policy of Ukraine (Minagropolicy) as agreed to extend the comment period to October, 16, 2010. ; So, the comment deadline date is extended to October, 16, 2010. ; ; This addendum concerns a: ; ; [X ] Modification of final date for comments ; [ ] Notification of adoption, publication, or entry into force of regulation ; [ ] Modification of content and/or scope of previously notified draft regulation ; [ ] Withdrawal of proposed regulation ; [ ] Change in proposed date of adoption, publication, or date of entry into force ; [ ] Other [provide brief description] ; ; Comment period: 16/10/2010 ; ; Agency or authority designated to handle comments: [ x ] National Notification Authority, [ x ] National Enquiry Point, or address, fax number and E-mail address (if available) of other body: ; ; WTO National Enquiry Point &amp; Information Processing Centre ; 04655, Kyiv, Lvivska Square, 8 ; Tel: +(38 044) 272 15 78 ; Fax: +(38 044) 272 11 47 ; E-mail: 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"mailto:ep@mfert.gov.ua"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ep@mfert.gov.ua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 xml:space="preserve"> ; ; Text available from: [x ] National Notification Authority, [ x ] National Enquiry Point, or address, fax number and E-mail address (if available) of other body: ; ; WTO National Enquiry Point &amp; Information Processing Centre ; 04655, Kyiv, Lvivska Square, 8 ; Tel: +(38 044) 272 15 78 ; Fax: +(38 044) 272 11 47 ; E-mail: 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"mailto:ep@mfert.gov.ua"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ep@mfert.gov.ua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 xml:space="preserve"> ; ;</w:t>
      </w:r>
      <w:bookmarkStart w:id="28" w:name="bmkNotifiedDocumentTitle"/>
      <w:bookmarkEnd w:id="28"/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bmkSymbols2"/>
    <w:r>
      <w:t>G/TBT/N/UKR/48/Add.1</w:t>
    </w:r>
    <w:bookmarkEnd w:id="29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0" w:name="spsSymbolHeader"/>
    <w:r w:rsidRPr="006C5A96">
      <w:t>G/TBT/N/UKR/48/Add.1</w:t>
    </w:r>
    <w:bookmarkEnd w:id="30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3696655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1" w:name="bmkSymbols"/>
          <w:r w:rsidRPr="00C14444">
            <w:rPr>
              <w:rFonts w:eastAsia="Calibri" w:cs="Times New Roman"/>
              <w:b/>
              <w:szCs w:val="16"/>
            </w:rPr>
            <w:t>G/TBT/N/UKR/48/Add.1</w:t>
          </w:r>
          <w:bookmarkEnd w:id="31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2" w:name="bmkDate"/>
          <w:r>
            <w:rPr>
              <w:rFonts w:eastAsia="Calibri" w:cs="Times New Roman"/>
              <w:szCs w:val="16"/>
            </w:rPr>
            <w:t>18 August 2010</w:t>
          </w:r>
          <w:bookmarkEnd w:id="32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3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3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4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4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