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7 June 2017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Ukraine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r w:rsidR="00467A46">
              <w:rPr>
                <w:rFonts w:eastAsia="Calibri" w:cs="Times New Roman"/>
              </w:rPr>
              <w:t>&lt;a class='document-link' target='_blank' href='</w:t>
            </w:r>
            <w:r w:rsidR="00467A46">
              <w:rPr>
                <w:rFonts w:eastAsia="Calibri" w:cs="Times New Roman"/>
              </w:rPr>
              <w:fldChar w:fldCharType="begin"/>
            </w:r>
            <w:r w:rsidR="00467A46">
              <w:rPr>
                <w:rFonts w:eastAsia="Calibri" w:cs="Times New Roman"/>
              </w:rPr>
              <w:instrText xml:space="preserve"> HYPERLINK "http://zakon2.rada.gov.ua/laws/show/359-2017-%D0%BF" </w:instrText>
            </w:r>
            <w:r w:rsidR="00467A46">
              <w:rPr>
                <w:rFonts w:eastAsia="Calibri" w:cs="Times New Roman"/>
              </w:rPr>
              <w:fldChar w:fldCharType="separate"/>
            </w:r>
            <w:r w:rsidR="00467A46">
              <w:rPr>
                <w:rFonts w:eastAsia="Calibri" w:cs="Times New Roman"/>
                <w:color w:val="0000FF"/>
                <w:u w:val="single"/>
              </w:rPr>
              <w:t>http://zakon2.rada.gov.ua/laws/show/359-2017-%D0%BF</w:t>
            </w:r>
            <w:r w:rsidR="00467A46">
              <w:rPr>
                <w:rFonts w:eastAsia="Calibri" w:cs="Times New Roman"/>
              </w:rPr>
              <w:fldChar w:fldCharType="end"/>
            </w:r>
            <w:r w:rsidR="00467A46">
              <w:rPr>
                <w:rFonts w:eastAsia="Calibri" w:cs="Times New Roman"/>
              </w:rPr>
              <w:t>'&gt;</w:t>
            </w:r>
            <w:r w:rsidR="00467A46">
              <w:rPr>
                <w:rFonts w:eastAsia="Calibri" w:cs="Times New Roman"/>
              </w:rPr>
              <w:fldChar w:fldCharType="begin"/>
            </w:r>
            <w:r w:rsidR="00467A46">
              <w:rPr>
                <w:rFonts w:eastAsia="Calibri" w:cs="Times New Roman"/>
              </w:rPr>
              <w:instrText xml:space="preserve"> HYPERLINK "http://zakon2.rada.gov.ua/laws/show/359-2017-%D0%BF" </w:instrText>
            </w:r>
            <w:r w:rsidR="00467A46">
              <w:rPr>
                <w:rFonts w:eastAsia="Calibri" w:cs="Times New Roman"/>
              </w:rPr>
              <w:fldChar w:fldCharType="separate"/>
            </w:r>
            <w:r w:rsidR="00467A46">
              <w:rPr>
                <w:rFonts w:eastAsia="Calibri" w:cs="Times New Roman"/>
                <w:color w:val="0000FF"/>
                <w:u w:val="single"/>
              </w:rPr>
              <w:t>http://zakon2.rada.gov.ua/laws/show/359-2017-%D0%BF</w:t>
            </w:r>
            <w:r w:rsidR="00467A46">
              <w:rPr>
                <w:rFonts w:eastAsia="Calibri" w:cs="Times New Roman"/>
              </w:rPr>
              <w:fldChar w:fldCharType="end"/>
            </w:r>
            <w:r w:rsidR="00467A46">
              <w:rPr>
                <w:rFonts w:eastAsia="Calibri" w:cs="Times New Roman"/>
              </w:rPr>
              <w:t>&lt;/a&gt;&lt;br /&gt;</w:t>
            </w:r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r w:rsidRPr="002F663C">
        <w:rPr>
          <w:rFonts w:eastAsia="Calibri" w:cs="Times New Roman"/>
          <w:szCs w:val="18"/>
          <w:lang w:val="en-GB" w:eastAsia="en-GB"/>
        </w:rPr>
        <w:t>Ukraine</w:t>
      </w:r>
      <w:r w:rsidRPr="002F663C">
        <w:rPr>
          <w:rFonts w:eastAsia="Calibri" w:cs="Times New Roman"/>
          <w:szCs w:val="18"/>
          <w:lang w:val="en-GB" w:eastAsia="en-GB"/>
        </w:rPr>
        <w:t xml:space="preserve"> would like to inform the WTO Members that the Draft </w:t>
      </w:r>
      <w:r w:rsidRPr="002F663C">
        <w:rPr>
          <w:rFonts w:eastAsia="Calibri" w:cs="Times New Roman"/>
          <w:szCs w:val="18"/>
        </w:rPr>
        <w:t>Resolution of the Cabinet of Ministers of Ukraine "</w:t>
      </w:r>
      <w:r w:rsidRPr="002F663C">
        <w:rPr>
          <w:rFonts w:eastAsia="Calibri" w:cs="Times New Roman"/>
          <w:szCs w:val="18"/>
        </w:rPr>
        <w:t>On Approval of the Technical Regulation for the energy labelling of </w:t>
      </w:r>
      <w:r w:rsidRPr="002F663C">
        <w:rPr>
          <w:rFonts w:eastAsia="Calibri" w:cs="Times New Roman"/>
          <w:szCs w:val="18"/>
        </w:rPr>
        <w:t>televisions" (</w:t>
      </w:r>
      <w:r w:rsidRPr="002F663C">
        <w:rPr>
          <w:rFonts w:eastAsia="Calibri" w:cs="Times New Roman"/>
          <w:szCs w:val="18"/>
        </w:rPr>
        <w:t>G/TBT/N/UKR/113) </w:t>
      </w:r>
      <w:r w:rsidRPr="002F663C">
        <w:rPr>
          <w:rFonts w:eastAsia="Calibri" w:cs="Times New Roman"/>
          <w:szCs w:val="18"/>
          <w:lang w:val="en-GB" w:eastAsia="en-GB"/>
        </w:rPr>
        <w:t>was adopted on </w:t>
      </w:r>
      <w:r w:rsidRPr="002F663C">
        <w:rPr>
          <w:rFonts w:eastAsia="Calibri" w:cs="Times New Roman"/>
          <w:szCs w:val="18"/>
        </w:rPr>
        <w:t>24 May 2017 and will enter into force on 2 December 2017.</w:t>
      </w:r>
    </w:p>
    <w:p w:rsidRPr="002F663C" w:rsidP="00B16ACF">
      <w:pPr>
        <w:spacing w:before="30" w:after="30"/>
        <w:ind w:left="30" w:right="3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> </w:t>
      </w:r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8" w:name="bmkSymbols2"/>
    <w:r>
      <w:t>G/TBT/N/UKR/113/Add.1</w:t>
    </w:r>
    <w:bookmarkEnd w:id="28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spsSymbolHeader"/>
    <w:r w:rsidRPr="006C5A96">
      <w:t>G/TBT/N/UKR/113/Add.1</w:t>
    </w:r>
    <w:bookmarkEnd w:id="29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818180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0" w:name="bmkSymbols"/>
          <w:r w:rsidRPr="00C14444">
            <w:rPr>
              <w:rFonts w:eastAsia="Calibri" w:cs="Times New Roman"/>
              <w:b/>
              <w:szCs w:val="16"/>
            </w:rPr>
            <w:t>G/TBT/N/UKR/113/Add.1</w:t>
          </w:r>
          <w:bookmarkEnd w:id="30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1" w:name="bmkDate"/>
          <w:r>
            <w:rPr>
              <w:rFonts w:eastAsia="Calibri" w:cs="Times New Roman"/>
              <w:szCs w:val="16"/>
            </w:rPr>
            <w:t>8 June 2017</w:t>
          </w:r>
          <w:bookmarkEnd w:id="31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2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2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3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3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