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16 June 2017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r w:rsidR="00467A46">
              <w:rPr>
                <w:rFonts w:eastAsia="Calibri" w:cs="Times New Roman"/>
              </w:rPr>
              <w:t>28 December 2016</w:t>
            </w:r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13 July 2017</w:t>
            </w:r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r w:rsidR="00467A46">
              <w:rPr>
                <w:rFonts w:eastAsia="Calibri" w:cs="Times New Roman"/>
              </w:rPr>
              <w:t>&lt;a class='document-link' target='_blank' href='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"http://zakon2.rada.gov.ua/laws/show/1025-2016-%D0%BF" \l "n13"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</w:rPr>
              <w:t>http://zakon2.rada.gov.ua/laws/show/1025-2016-%D0%BF#n13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'&gt;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"http://zakon2.rada.gov.ua/laws/show/1025-2016-%D0%BF" \l "n13"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</w:rPr>
              <w:t>http://zakon2.rada.gov.ua/laws/show/1025-2016-%D0%BF#n13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&lt;/a&gt;&lt;br /&gt;</w:t>
            </w:r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>Ukraine would like to inform the WTO Members that the Draft Resolution of the Cabinet of Ministers of Ukraine "On Approval of the Technical Regulation of simple pressure vessels" (G/TBT/N/UKR/111) was adopted on 28 December 2016 and will enter into force on 13 July 2017.</w:t>
      </w:r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bmkSymbols2"/>
    <w:r>
      <w:t>G/TBT/N/UKR/111/Add.1</w:t>
    </w:r>
    <w:bookmarkEnd w:id="28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spsSymbolHeader"/>
    <w:r w:rsidRPr="006C5A96">
      <w:t>G/TBT/N/UKR/111/Add.1</w:t>
    </w:r>
    <w:bookmarkEnd w:id="29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6988765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0" w:name="bmkSymbols"/>
          <w:r w:rsidRPr="00C14444">
            <w:rPr>
              <w:rFonts w:eastAsia="Calibri" w:cs="Times New Roman"/>
              <w:b/>
              <w:szCs w:val="16"/>
            </w:rPr>
            <w:t>G/TBT/N/UKR/111/Add.1</w:t>
          </w:r>
          <w:bookmarkEnd w:id="30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1" w:name="bmkDate"/>
          <w:r>
            <w:rPr>
              <w:rFonts w:eastAsia="Calibri" w:cs="Times New Roman"/>
              <w:szCs w:val="16"/>
            </w:rPr>
            <w:t>19 June 2017</w:t>
          </w:r>
          <w:bookmarkEnd w:id="31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2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2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3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3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